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28" w:rsidRDefault="00B23740" w:rsidP="00895F62">
      <w:pPr>
        <w:jc w:val="center"/>
        <w:rPr>
          <w:b/>
          <w:sz w:val="28"/>
          <w:szCs w:val="28"/>
        </w:rPr>
      </w:pPr>
      <w:r w:rsidRPr="00895F62">
        <w:rPr>
          <w:b/>
          <w:sz w:val="28"/>
          <w:szCs w:val="28"/>
        </w:rPr>
        <w:t>Sheltered English Immersion</w:t>
      </w:r>
      <w:r w:rsidR="001A1605" w:rsidRPr="00895F62">
        <w:rPr>
          <w:b/>
          <w:sz w:val="28"/>
          <w:szCs w:val="28"/>
        </w:rPr>
        <w:t xml:space="preserve"> (SEI)</w:t>
      </w:r>
      <w:r w:rsidRPr="00895F62">
        <w:rPr>
          <w:b/>
          <w:sz w:val="28"/>
          <w:szCs w:val="28"/>
        </w:rPr>
        <w:t xml:space="preserve"> for Faculty Supervisors</w:t>
      </w:r>
    </w:p>
    <w:p w:rsidR="00E76CD5" w:rsidRPr="00895F62" w:rsidRDefault="00E76CD5" w:rsidP="00895F62">
      <w:pPr>
        <w:jc w:val="center"/>
        <w:rPr>
          <w:b/>
          <w:sz w:val="28"/>
          <w:szCs w:val="28"/>
        </w:rPr>
      </w:pPr>
      <w:hyperlink r:id="rId8" w:history="1">
        <w:r>
          <w:rPr>
            <w:rStyle w:val="Hyperlink"/>
          </w:rPr>
          <w:t>http://webhost.bridgew.edu/kdobush/</w:t>
        </w:r>
      </w:hyperlink>
    </w:p>
    <w:p w:rsidR="00B23740" w:rsidRPr="00895F62" w:rsidRDefault="001A1605">
      <w:pPr>
        <w:rPr>
          <w:sz w:val="24"/>
          <w:szCs w:val="24"/>
        </w:rPr>
      </w:pPr>
      <w:r w:rsidRPr="00895F62">
        <w:rPr>
          <w:sz w:val="24"/>
          <w:szCs w:val="24"/>
        </w:rPr>
        <w:t xml:space="preserve">Video: </w:t>
      </w:r>
      <w:hyperlink r:id="rId9" w:anchor="content" w:history="1">
        <w:r w:rsidRPr="00895F62">
          <w:rPr>
            <w:rStyle w:val="Hyperlink"/>
            <w:sz w:val="24"/>
            <w:szCs w:val="24"/>
          </w:rPr>
          <w:t xml:space="preserve">Science Lesson </w:t>
        </w:r>
        <w:proofErr w:type="gramStart"/>
        <w:r w:rsidRPr="00895F62">
          <w:rPr>
            <w:rStyle w:val="Hyperlink"/>
            <w:sz w:val="24"/>
            <w:szCs w:val="24"/>
          </w:rPr>
          <w:t>Before</w:t>
        </w:r>
        <w:proofErr w:type="gramEnd"/>
        <w:r w:rsidRPr="00895F62">
          <w:rPr>
            <w:rStyle w:val="Hyperlink"/>
            <w:sz w:val="24"/>
            <w:szCs w:val="24"/>
          </w:rPr>
          <w:t xml:space="preserve"> SEI</w:t>
        </w:r>
      </w:hyperlink>
    </w:p>
    <w:p w:rsidR="001A1605" w:rsidRPr="00895F62" w:rsidRDefault="001A1605">
      <w:pPr>
        <w:rPr>
          <w:sz w:val="24"/>
          <w:szCs w:val="24"/>
        </w:rPr>
      </w:pPr>
      <w:r w:rsidRPr="00895F62">
        <w:rPr>
          <w:sz w:val="24"/>
          <w:szCs w:val="24"/>
        </w:rPr>
        <w:t xml:space="preserve">Sheltered English Immersion in the Massachusetts Preservice Performance Assessment (PPA) </w:t>
      </w:r>
    </w:p>
    <w:p w:rsidR="00895F62" w:rsidRPr="00895F62" w:rsidRDefault="00867082" w:rsidP="00895F62">
      <w:pPr>
        <w:pStyle w:val="ListParagraph"/>
        <w:numPr>
          <w:ilvl w:val="0"/>
          <w:numId w:val="1"/>
        </w:numPr>
        <w:rPr>
          <w:rFonts w:asciiTheme="minorHAnsi" w:hAnsiTheme="minorHAnsi" w:cstheme="minorHAnsi"/>
        </w:rPr>
      </w:pPr>
      <w:r w:rsidRPr="00895F62">
        <w:rPr>
          <w:rFonts w:asciiTheme="minorHAnsi" w:hAnsiTheme="minorHAnsi" w:cstheme="minorHAnsi"/>
        </w:rPr>
        <w:t>The program supervisor must use the PPA to provide guidance and support to all those involved in the practicum/practicum equivalent.</w:t>
      </w:r>
    </w:p>
    <w:p w:rsidR="00CA230E" w:rsidRPr="00895F62" w:rsidRDefault="00C941C5" w:rsidP="00CA230E">
      <w:pPr>
        <w:pStyle w:val="ListParagraph"/>
        <w:numPr>
          <w:ilvl w:val="0"/>
          <w:numId w:val="1"/>
        </w:numPr>
        <w:rPr>
          <w:rFonts w:asciiTheme="minorHAnsi" w:hAnsiTheme="minorHAnsi"/>
        </w:rPr>
      </w:pPr>
      <w:r w:rsidRPr="00895F62">
        <w:rPr>
          <w:rFonts w:asciiTheme="minorHAnsi" w:hAnsiTheme="minorHAnsi" w:cstheme="minorHAnsi"/>
        </w:rPr>
        <w:t>The supervising practitioner must use the PPA and serve as a role model by providing guidance and support to the candidate.</w:t>
      </w:r>
    </w:p>
    <w:p w:rsidR="00895F62" w:rsidRDefault="00895F62" w:rsidP="00CA230E">
      <w:pPr>
        <w:rPr>
          <w:rFonts w:cstheme="minorHAnsi"/>
          <w:sz w:val="24"/>
          <w:szCs w:val="24"/>
        </w:rPr>
      </w:pPr>
    </w:p>
    <w:p w:rsidR="00CA230E" w:rsidRPr="00895F62" w:rsidRDefault="00CA230E" w:rsidP="00CA230E">
      <w:pPr>
        <w:rPr>
          <w:rFonts w:cstheme="minorHAnsi"/>
          <w:sz w:val="24"/>
          <w:szCs w:val="24"/>
        </w:rPr>
      </w:pPr>
      <w:r w:rsidRPr="00895F62">
        <w:rPr>
          <w:rFonts w:cstheme="minorHAnsi"/>
          <w:sz w:val="24"/>
          <w:szCs w:val="24"/>
        </w:rPr>
        <w:t>The performance of the teacher candidate will be assessed by using the Pre-serv</w:t>
      </w:r>
      <w:r w:rsidR="00895F62">
        <w:rPr>
          <w:rFonts w:cstheme="minorHAnsi"/>
          <w:sz w:val="24"/>
          <w:szCs w:val="24"/>
        </w:rPr>
        <w:t xml:space="preserve">ice </w:t>
      </w:r>
      <w:r w:rsidRPr="00895F62">
        <w:rPr>
          <w:rFonts w:cstheme="minorHAnsi"/>
          <w:sz w:val="24"/>
          <w:szCs w:val="24"/>
        </w:rPr>
        <w:t>Performance Assessment (PPA) for Teachers.</w:t>
      </w:r>
    </w:p>
    <w:p w:rsidR="00CA230E" w:rsidRPr="00895F62" w:rsidRDefault="00CA230E" w:rsidP="00CA230E">
      <w:pPr>
        <w:pStyle w:val="ListParagraph"/>
        <w:numPr>
          <w:ilvl w:val="0"/>
          <w:numId w:val="3"/>
        </w:numPr>
        <w:rPr>
          <w:rFonts w:asciiTheme="minorHAnsi" w:hAnsiTheme="minorHAnsi" w:cstheme="minorHAnsi"/>
        </w:rPr>
      </w:pPr>
      <w:r w:rsidRPr="00895F62">
        <w:rPr>
          <w:rFonts w:asciiTheme="minorHAnsi" w:hAnsiTheme="minorHAnsi" w:cstheme="minorHAnsi"/>
        </w:rPr>
        <w:t>Candidates must demonstrate that they successfully meet the Professional Standards for Teachers (PSTs).</w:t>
      </w:r>
    </w:p>
    <w:p w:rsidR="00867082" w:rsidRPr="00895F62" w:rsidRDefault="00CA230E" w:rsidP="00CA230E">
      <w:pPr>
        <w:pStyle w:val="ListParagraph"/>
        <w:numPr>
          <w:ilvl w:val="0"/>
          <w:numId w:val="3"/>
        </w:numPr>
        <w:rPr>
          <w:rFonts w:asciiTheme="minorHAnsi" w:hAnsiTheme="minorHAnsi" w:cstheme="minorHAnsi"/>
        </w:rPr>
      </w:pPr>
      <w:r w:rsidRPr="00895F62">
        <w:rPr>
          <w:rFonts w:asciiTheme="minorHAnsi" w:hAnsiTheme="minorHAnsi" w:cstheme="minorHAnsi"/>
        </w:rPr>
        <w:t>The candidate must complete the evidence portion of the PPA document.  The candidate must supply evidence for each Standard and Indicator within the PST must be supplied by the candidate prior to evaluation by the program supervisor and the supervising practitioner</w:t>
      </w:r>
      <w:r w:rsidR="003B7E8A">
        <w:rPr>
          <w:rFonts w:asciiTheme="minorHAnsi" w:hAnsiTheme="minorHAnsi" w:cstheme="minorHAnsi"/>
        </w:rPr>
        <w:t xml:space="preserve"> </w:t>
      </w:r>
      <w:r w:rsidRPr="00895F62">
        <w:rPr>
          <w:rFonts w:asciiTheme="minorHAnsi" w:hAnsiTheme="minorHAnsi" w:cstheme="minorHAnsi"/>
        </w:rPr>
        <w:t>(See Appendix D).</w:t>
      </w:r>
    </w:p>
    <w:p w:rsidR="00895F62" w:rsidRPr="00895F62" w:rsidRDefault="00895F62" w:rsidP="00CA230E">
      <w:pPr>
        <w:pStyle w:val="ListParagraph"/>
        <w:ind w:left="0"/>
        <w:rPr>
          <w:rFonts w:asciiTheme="minorHAnsi" w:hAnsiTheme="minorHAnsi" w:cstheme="minorHAnsi"/>
          <w:b/>
          <w:bCs/>
          <w:iCs/>
          <w:color w:val="0070C0"/>
        </w:rPr>
      </w:pPr>
    </w:p>
    <w:p w:rsidR="00CA230E" w:rsidRPr="00895F62" w:rsidRDefault="00CA230E" w:rsidP="00CA230E">
      <w:pPr>
        <w:pStyle w:val="ListParagraph"/>
        <w:ind w:left="0"/>
        <w:rPr>
          <w:rFonts w:asciiTheme="minorHAnsi" w:hAnsiTheme="minorHAnsi" w:cstheme="minorHAnsi"/>
        </w:rPr>
      </w:pPr>
      <w:r w:rsidRPr="00895F62">
        <w:rPr>
          <w:rFonts w:asciiTheme="minorHAnsi" w:hAnsiTheme="minorHAnsi" w:cstheme="minorHAnsi"/>
          <w:b/>
          <w:bCs/>
          <w:iCs/>
          <w:color w:val="0070C0"/>
        </w:rPr>
        <w:t>Appendix D – Sources of Evidence</w:t>
      </w:r>
    </w:p>
    <w:p w:rsidR="00CA230E" w:rsidRPr="00895F62" w:rsidRDefault="00CA230E" w:rsidP="00CA230E">
      <w:pPr>
        <w:spacing w:before="240"/>
        <w:rPr>
          <w:rFonts w:cstheme="minorHAnsi"/>
          <w:sz w:val="24"/>
          <w:szCs w:val="24"/>
        </w:rPr>
      </w:pPr>
      <w:r w:rsidRPr="00895F62">
        <w:rPr>
          <w:rFonts w:cstheme="minorHAnsi"/>
          <w:sz w:val="24"/>
          <w:szCs w:val="24"/>
        </w:rPr>
        <w:t xml:space="preserve">Multiple sources of evidence to assess a teacher candidate’s practicum performance may include, but is not limited to, the following:  </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unit and/or lesson plans</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syllabi</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MA Curriculum Frameworks (current edition)</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assessments and/or assessment data</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portfolios (specify documents used as evidence)</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examples of students’ work</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reflective papers</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observable behaviors where appropriate</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behavior plans/ behavior data</w:t>
      </w:r>
    </w:p>
    <w:p w:rsidR="00CA230E" w:rsidRPr="00895F62" w:rsidRDefault="00CA230E" w:rsidP="00CA230E">
      <w:pPr>
        <w:numPr>
          <w:ilvl w:val="0"/>
          <w:numId w:val="4"/>
        </w:numPr>
        <w:tabs>
          <w:tab w:val="left" w:pos="2520"/>
        </w:tabs>
        <w:spacing w:after="0" w:line="240" w:lineRule="auto"/>
        <w:ind w:left="720" w:hanging="360"/>
        <w:rPr>
          <w:rFonts w:cstheme="minorHAnsi"/>
          <w:sz w:val="24"/>
          <w:szCs w:val="24"/>
        </w:rPr>
      </w:pPr>
      <w:r w:rsidRPr="00895F62">
        <w:rPr>
          <w:rFonts w:cstheme="minorHAnsi"/>
          <w:sz w:val="24"/>
          <w:szCs w:val="24"/>
        </w:rPr>
        <w:t>other sources of evidence appropriate to and accepted by the relevant discipline</w:t>
      </w:r>
    </w:p>
    <w:p w:rsidR="00CA230E" w:rsidRPr="00895F62" w:rsidRDefault="00CA230E" w:rsidP="00CA230E">
      <w:pPr>
        <w:rPr>
          <w:rFonts w:cstheme="minorHAnsi"/>
          <w:sz w:val="24"/>
          <w:szCs w:val="24"/>
        </w:rPr>
      </w:pPr>
    </w:p>
    <w:p w:rsidR="00CA230E" w:rsidRPr="00895F62" w:rsidRDefault="00CA230E" w:rsidP="00CA230E">
      <w:pPr>
        <w:rPr>
          <w:rFonts w:cstheme="minorHAnsi"/>
          <w:sz w:val="24"/>
          <w:szCs w:val="24"/>
        </w:rPr>
      </w:pPr>
      <w:r w:rsidRPr="00895F62">
        <w:rPr>
          <w:rFonts w:cstheme="minorHAnsi"/>
          <w:sz w:val="24"/>
          <w:szCs w:val="24"/>
        </w:rPr>
        <w:t xml:space="preserve">All sources of evidence should be reasonably assessed.  A key objective is reasonable uniformity in what constitutes evidence for each Standard for each license area across all Sponsoring </w:t>
      </w:r>
      <w:r w:rsidRPr="00895F62">
        <w:rPr>
          <w:rFonts w:cstheme="minorHAnsi"/>
          <w:sz w:val="24"/>
          <w:szCs w:val="24"/>
        </w:rPr>
        <w:lastRenderedPageBreak/>
        <w:t>Organizations and across all routes.  Sponsoring Organizations may always add additional criteria and standards for their programs.</w:t>
      </w:r>
    </w:p>
    <w:p w:rsidR="00474C91" w:rsidRPr="00E76CD5" w:rsidRDefault="00474C91">
      <w:pPr>
        <w:rPr>
          <w:b/>
          <w:i/>
          <w:sz w:val="24"/>
          <w:szCs w:val="24"/>
        </w:rPr>
      </w:pPr>
      <w:r w:rsidRPr="00E76CD5">
        <w:rPr>
          <w:b/>
          <w:i/>
          <w:sz w:val="24"/>
          <w:szCs w:val="24"/>
        </w:rPr>
        <w:t>The Preservice Performance Assessment (PPA) with SEI Emphasized</w:t>
      </w:r>
    </w:p>
    <w:p w:rsidR="001A1605" w:rsidRPr="00E76CD5" w:rsidRDefault="001C7262">
      <w:pPr>
        <w:rPr>
          <w:b/>
          <w:i/>
          <w:sz w:val="24"/>
          <w:szCs w:val="24"/>
        </w:rPr>
      </w:pPr>
      <w:r w:rsidRPr="00E76CD5">
        <w:rPr>
          <w:b/>
          <w:i/>
          <w:sz w:val="24"/>
          <w:szCs w:val="24"/>
        </w:rPr>
        <w:t>The PPA Rubric with SEI Components Emphasized</w:t>
      </w:r>
    </w:p>
    <w:p w:rsidR="00895F62" w:rsidRPr="00E76CD5" w:rsidRDefault="00895F62">
      <w:pPr>
        <w:rPr>
          <w:b/>
          <w:i/>
          <w:sz w:val="24"/>
          <w:szCs w:val="24"/>
        </w:rPr>
      </w:pPr>
      <w:r w:rsidRPr="00E76CD5">
        <w:rPr>
          <w:b/>
          <w:i/>
          <w:sz w:val="24"/>
          <w:szCs w:val="24"/>
        </w:rPr>
        <w:t>Appendix B – PPA Evaluation Questions with SEI Standards and Examples of Student Performances</w:t>
      </w:r>
    </w:p>
    <w:p w:rsidR="003B7E8A" w:rsidRDefault="003B7E8A">
      <w:pPr>
        <w:rPr>
          <w:sz w:val="24"/>
          <w:szCs w:val="24"/>
        </w:rPr>
      </w:pPr>
      <w:r>
        <w:rPr>
          <w:sz w:val="24"/>
          <w:szCs w:val="24"/>
        </w:rPr>
        <w:t>Resources for integrating Sheltered English Immersion in unit plans and lessons:</w:t>
      </w:r>
    </w:p>
    <w:p w:rsidR="003B7E8A" w:rsidRDefault="004F40B0">
      <w:pPr>
        <w:rPr>
          <w:sz w:val="24"/>
          <w:szCs w:val="24"/>
        </w:rPr>
      </w:pPr>
      <w:hyperlink r:id="rId10" w:anchor="content" w:history="1">
        <w:r w:rsidR="003B7E8A" w:rsidRPr="003B7E8A">
          <w:rPr>
            <w:rStyle w:val="Hyperlink"/>
            <w:sz w:val="24"/>
            <w:szCs w:val="24"/>
          </w:rPr>
          <w:t>Sheltered English Immersion Lesson</w:t>
        </w:r>
      </w:hyperlink>
    </w:p>
    <w:p w:rsidR="003B7E8A" w:rsidRPr="00895F62" w:rsidRDefault="004F40B0">
      <w:pPr>
        <w:rPr>
          <w:sz w:val="24"/>
          <w:szCs w:val="24"/>
        </w:rPr>
      </w:pPr>
      <w:hyperlink r:id="rId11" w:history="1">
        <w:r w:rsidR="003B7E8A" w:rsidRPr="003B7E8A">
          <w:rPr>
            <w:rStyle w:val="Hyperlink"/>
            <w:sz w:val="24"/>
            <w:szCs w:val="24"/>
          </w:rPr>
          <w:t>5 Key Strategies for ELL Instruction</w:t>
        </w:r>
      </w:hyperlink>
    </w:p>
    <w:p w:rsidR="00E76CD5" w:rsidRDefault="00E76CD5">
      <w:pPr>
        <w:rPr>
          <w:sz w:val="24"/>
          <w:szCs w:val="24"/>
        </w:rPr>
      </w:pPr>
    </w:p>
    <w:p w:rsidR="00895F62" w:rsidRPr="00895F62" w:rsidRDefault="00E76CD5">
      <w:pPr>
        <w:rPr>
          <w:sz w:val="24"/>
          <w:szCs w:val="24"/>
        </w:rPr>
      </w:pPr>
      <w:r>
        <w:rPr>
          <w:sz w:val="24"/>
          <w:szCs w:val="24"/>
        </w:rPr>
        <w:t xml:space="preserve">Wrap up </w:t>
      </w:r>
      <w:bookmarkStart w:id="0" w:name="_GoBack"/>
      <w:bookmarkEnd w:id="0"/>
      <w:r w:rsidR="00895F62" w:rsidRPr="00895F62">
        <w:rPr>
          <w:sz w:val="24"/>
          <w:szCs w:val="24"/>
        </w:rPr>
        <w:t xml:space="preserve">Video: </w:t>
      </w:r>
      <w:hyperlink r:id="rId12" w:anchor="content" w:history="1">
        <w:r w:rsidR="00895F62" w:rsidRPr="00895F62">
          <w:rPr>
            <w:rStyle w:val="Hyperlink"/>
            <w:sz w:val="24"/>
            <w:szCs w:val="24"/>
          </w:rPr>
          <w:t xml:space="preserve">Science Lesson </w:t>
        </w:r>
        <w:proofErr w:type="gramStart"/>
        <w:r w:rsidR="00895F62" w:rsidRPr="00895F62">
          <w:rPr>
            <w:rStyle w:val="Hyperlink"/>
            <w:sz w:val="24"/>
            <w:szCs w:val="24"/>
          </w:rPr>
          <w:t>After</w:t>
        </w:r>
        <w:proofErr w:type="gramEnd"/>
        <w:r w:rsidR="00895F62" w:rsidRPr="00895F62">
          <w:rPr>
            <w:rStyle w:val="Hyperlink"/>
            <w:sz w:val="24"/>
            <w:szCs w:val="24"/>
          </w:rPr>
          <w:t xml:space="preserve"> SEI</w:t>
        </w:r>
      </w:hyperlink>
    </w:p>
    <w:p w:rsidR="001C7262" w:rsidRPr="00895F62" w:rsidRDefault="001C7262">
      <w:pPr>
        <w:rPr>
          <w:sz w:val="24"/>
          <w:szCs w:val="24"/>
        </w:rPr>
      </w:pPr>
    </w:p>
    <w:sectPr w:rsidR="001C7262" w:rsidRPr="00895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0" w:rsidRDefault="004F40B0" w:rsidP="00CA230E">
      <w:pPr>
        <w:spacing w:after="0" w:line="240" w:lineRule="auto"/>
      </w:pPr>
      <w:r>
        <w:separator/>
      </w:r>
    </w:p>
  </w:endnote>
  <w:endnote w:type="continuationSeparator" w:id="0">
    <w:p w:rsidR="004F40B0" w:rsidRDefault="004F40B0" w:rsidP="00CA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0" w:rsidRDefault="004F40B0" w:rsidP="00CA230E">
      <w:pPr>
        <w:spacing w:after="0" w:line="240" w:lineRule="auto"/>
      </w:pPr>
      <w:r>
        <w:separator/>
      </w:r>
    </w:p>
  </w:footnote>
  <w:footnote w:type="continuationSeparator" w:id="0">
    <w:p w:rsidR="004F40B0" w:rsidRDefault="004F40B0" w:rsidP="00CA2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5434C8"/>
    <w:lvl w:ilvl="0">
      <w:numFmt w:val="decimal"/>
      <w:lvlText w:val="*"/>
      <w:lvlJc w:val="left"/>
    </w:lvl>
  </w:abstractNum>
  <w:abstractNum w:abstractNumId="1">
    <w:nsid w:val="28BE3480"/>
    <w:multiLevelType w:val="hybridMultilevel"/>
    <w:tmpl w:val="B2946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35685"/>
    <w:multiLevelType w:val="hybridMultilevel"/>
    <w:tmpl w:val="0AC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A4216"/>
    <w:multiLevelType w:val="hybridMultilevel"/>
    <w:tmpl w:val="6B52AC6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40"/>
    <w:rsid w:val="00066CE6"/>
    <w:rsid w:val="001A1605"/>
    <w:rsid w:val="001C7262"/>
    <w:rsid w:val="00241E47"/>
    <w:rsid w:val="002503B5"/>
    <w:rsid w:val="003B7E8A"/>
    <w:rsid w:val="00474C91"/>
    <w:rsid w:val="004F40B0"/>
    <w:rsid w:val="00867082"/>
    <w:rsid w:val="00895F62"/>
    <w:rsid w:val="00B15CA3"/>
    <w:rsid w:val="00B23740"/>
    <w:rsid w:val="00BA7EDA"/>
    <w:rsid w:val="00C941C5"/>
    <w:rsid w:val="00CA230E"/>
    <w:rsid w:val="00E76CD5"/>
    <w:rsid w:val="00EB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605"/>
    <w:rPr>
      <w:color w:val="0000FF" w:themeColor="hyperlink"/>
      <w:u w:val="single"/>
    </w:rPr>
  </w:style>
  <w:style w:type="paragraph" w:styleId="ListParagraph">
    <w:name w:val="List Paragraph"/>
    <w:basedOn w:val="Normal"/>
    <w:uiPriority w:val="34"/>
    <w:qFormat/>
    <w:rsid w:val="00867082"/>
    <w:pPr>
      <w:spacing w:after="0" w:line="240" w:lineRule="auto"/>
      <w:ind w:left="720"/>
      <w:contextualSpacing/>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3B7E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605"/>
    <w:rPr>
      <w:color w:val="0000FF" w:themeColor="hyperlink"/>
      <w:u w:val="single"/>
    </w:rPr>
  </w:style>
  <w:style w:type="paragraph" w:styleId="ListParagraph">
    <w:name w:val="List Paragraph"/>
    <w:basedOn w:val="Normal"/>
    <w:uiPriority w:val="34"/>
    <w:qFormat/>
    <w:rsid w:val="00867082"/>
    <w:pPr>
      <w:spacing w:after="0" w:line="240" w:lineRule="auto"/>
      <w:ind w:left="720"/>
      <w:contextualSpacing/>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3B7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host.bridgew.edu/kdobu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is.peabody.vanderbilt.edu/module/ell/cwr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achingchannel.org/blog/2013/10/25/strategies-for-ell-instruction/" TargetMode="External"/><Relationship Id="rId5" Type="http://schemas.openxmlformats.org/officeDocument/2006/relationships/webSettings" Target="webSettings.xml"/><Relationship Id="rId10" Type="http://schemas.openxmlformats.org/officeDocument/2006/relationships/hyperlink" Target="http://iris.peabody.vanderbilt.edu/module/ell/cresource/what-do-teachers-need-to-know-about-students-who-are-learning-to-speak-english/ell_04/" TargetMode="External"/><Relationship Id="rId4" Type="http://schemas.openxmlformats.org/officeDocument/2006/relationships/settings" Target="settings.xml"/><Relationship Id="rId9" Type="http://schemas.openxmlformats.org/officeDocument/2006/relationships/hyperlink" Target="http://iris.peabody.vanderbilt.edu/module/ell/challe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Dobush</dc:creator>
  <cp:lastModifiedBy>Ken</cp:lastModifiedBy>
  <cp:revision>11</cp:revision>
  <dcterms:created xsi:type="dcterms:W3CDTF">2013-11-29T13:53:00Z</dcterms:created>
  <dcterms:modified xsi:type="dcterms:W3CDTF">2014-01-10T14:53:00Z</dcterms:modified>
</cp:coreProperties>
</file>